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60" w:rsidRDefault="00657160" w:rsidP="00657160">
      <w:pPr>
        <w:tabs>
          <w:tab w:val="num" w:pos="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Вопросы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Спрос и факторы его определяющие.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Предложение и факторы его определяющие.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Модель взаимодействия спроса и предложения. Невозможность и множественность рыночного равновесия. 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Воздействие на рыночное равновесие изменений спроса и предложения. Паутинообразная модель рыночного равновесия.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proofErr w:type="spellStart"/>
      <w:r>
        <w:rPr>
          <w:color w:val="000000"/>
          <w:spacing w:val="-2"/>
          <w:sz w:val="22"/>
          <w:szCs w:val="22"/>
        </w:rPr>
        <w:t>Взаимовыгодность</w:t>
      </w:r>
      <w:proofErr w:type="spellEnd"/>
      <w:r>
        <w:rPr>
          <w:color w:val="000000"/>
          <w:spacing w:val="-2"/>
          <w:sz w:val="22"/>
          <w:szCs w:val="22"/>
        </w:rPr>
        <w:t xml:space="preserve"> добровольного обмена. Излишек потребителя и производителя.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Вмешательство государства в рыночный механизм.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Ценовая эластичность спроса.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Перекрестная эластичность спроса по цене.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Ценовая эластичность предложения. Факторы ценовой эластичности предложения.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Теория полезности. Количественный подход к анализу потребностей и спроса.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Кривые безразличия. Карта безразличия. Предельные нормы замены одного блага другим благом. 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Линия бюджетного ограничения. Равновесие потребителя.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Реакция потребителя на изменение дохода. Кривые </w:t>
      </w:r>
      <w:proofErr w:type="spellStart"/>
      <w:r>
        <w:rPr>
          <w:color w:val="000000"/>
          <w:spacing w:val="-2"/>
          <w:sz w:val="22"/>
          <w:szCs w:val="22"/>
        </w:rPr>
        <w:t>Энгеля</w:t>
      </w:r>
      <w:proofErr w:type="spellEnd"/>
      <w:r>
        <w:rPr>
          <w:color w:val="000000"/>
          <w:spacing w:val="-2"/>
          <w:sz w:val="22"/>
          <w:szCs w:val="22"/>
        </w:rPr>
        <w:t>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Реакция потребителя на изменение цен. Кривая “Цена-Потребление”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Индексы изменения цен.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Производство и технология. Производственная функция.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Производственная функция в краткосрочном периоде.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Производственная функция в долгосрочном периоде.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Равновесие производителя.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Развитие производства и эффект масштаба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Понятие издержек производства. Бухгалтерские и экономические издержки производства.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Издержки производства в краткосрочном периоде.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Износ и амортизация основного капитала.</w:t>
      </w:r>
    </w:p>
    <w:p w:rsidR="00657160" w:rsidRDefault="00657160" w:rsidP="00657160">
      <w:pPr>
        <w:numPr>
          <w:ilvl w:val="0"/>
          <w:numId w:val="1"/>
        </w:numPr>
        <w:tabs>
          <w:tab w:val="num" w:pos="284"/>
        </w:tabs>
        <w:ind w:left="0" w:firstLine="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Издержки в долгосрочном периоде. Понятие фирмы и ее цели, классификация фирм.</w:t>
      </w:r>
    </w:p>
    <w:p w:rsidR="00CC0771" w:rsidRDefault="00CC0771">
      <w:bookmarkStart w:id="0" w:name="_GoBack"/>
      <w:bookmarkEnd w:id="0"/>
    </w:p>
    <w:sectPr w:rsidR="00CC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F780C"/>
    <w:multiLevelType w:val="hybridMultilevel"/>
    <w:tmpl w:val="607AC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ED"/>
    <w:rsid w:val="00657160"/>
    <w:rsid w:val="00CC0771"/>
    <w:rsid w:val="00D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2016-03-31T06:49:00Z</dcterms:created>
  <dcterms:modified xsi:type="dcterms:W3CDTF">2016-03-31T06:53:00Z</dcterms:modified>
</cp:coreProperties>
</file>